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Centralne klimatyzacyjne | frapol.com.pl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Centrale klimatyzacyjne są ważnym elementem funkcjonowania systemów obsługujących budynki mieszkalne, biurowe. Dzięki nim możliwe jest zapewnienie komfortu osobom w nim przebywającym nawet w najbardziej upalne dni. Z tego powodu uważamy, że warto jest zainteresować się tym tematem w nieco bliższym stopniu.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Centrale klimatyzacyjne</w:t>
      </w:r>
      <w:r>
        <w:rPr>
          <w:rFonts w:ascii="calibri" w:hAnsi="calibri" w:eastAsia="calibri" w:cs="calibri"/>
          <w:sz w:val="24"/>
          <w:szCs w:val="24"/>
        </w:rPr>
        <w:t xml:space="preserve">, jakie oferujemy jako firma Frapol występują w wielu formach. W zależności od potrzeb i preferencji możliwy jest wybór rozwiązania dopasowanego do konkretnej sytuacji. Warto jest na pewno wcześniej zorientować się w temacie, żeby znać wady i zalety poszczególnych typów. Do wyboru można znaleźć wariant kompaktowy i sekcyjne typu AF.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Centrale klimatyzacyjne, czym się różnią?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 </w:t>
      </w:r>
      <w:r>
        <w:rPr>
          <w:rFonts w:ascii="calibri" w:hAnsi="calibri" w:eastAsia="calibri" w:cs="calibri"/>
          <w:sz w:val="24"/>
          <w:szCs w:val="24"/>
          <w:b/>
        </w:rPr>
        <w:t xml:space="preserve">centrale klimatyzacyjne</w:t>
      </w:r>
      <w:r>
        <w:rPr>
          <w:rFonts w:ascii="calibri" w:hAnsi="calibri" w:eastAsia="calibri" w:cs="calibri"/>
          <w:sz w:val="24"/>
          <w:szCs w:val="24"/>
        </w:rPr>
        <w:t xml:space="preserve"> mogą się pojawiać w wielu różniących się między sobą detalami wariantach. Mogą być one na przykład kompaktowe lub secyjne. Pierwsza z nich została dodatkowo wyposażona w układa automatyki. W tym przypadku zakres możliwej do uzyskania wydajności jest ogromny. Wynosi on od 500 do aż 7500 metrów sześciennych na godzinę.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mogą się pochwalić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centrale klimatyzacyjne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sprzedawane przez Frapol?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tu wymienić kilka czynników. Przede wszystkim jest to wysoka wartość odzysku zużywanej energii. W przypadku produktów Frapol wynosi ona nawet 90%. Finalny efekt takiej wartości nasuwa się do głowy sam - znaczne oszczędności są jednym z głównych czynników, dla których warto dokonać tej inwestycji.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y/6/Centrale-Wentylacyjno-Klimatyzacy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2026-02-04T09:21:53+01:00</dcterms:created>
  <dcterms:modified xsi:type="dcterms:W3CDTF">2026-02-04T09:21:53+01:00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